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1042"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1042"/>
      </w:tblGrid>
      <w:tr w:rsidR="00DB4F1C" w14:paraId="0E689857" w14:textId="77777777" w:rsidTr="009039D8">
        <w:trPr>
          <w:trHeight w:hRule="exact" w:val="13892"/>
        </w:trPr>
        <w:tc>
          <w:tcPr>
            <w:tcW w:w="11042" w:type="dxa"/>
            <w:shd w:val="clear" w:color="auto" w:fill="auto"/>
            <w:tcMar>
              <w:top w:w="80" w:type="dxa"/>
              <w:left w:w="216" w:type="dxa"/>
              <w:bottom w:w="80" w:type="dxa"/>
              <w:right w:w="80" w:type="dxa"/>
            </w:tcMar>
            <w:vAlign w:val="bottom"/>
          </w:tcPr>
          <w:p w14:paraId="34DB8FA1" w14:textId="52BDB148" w:rsidR="00DB4F1C" w:rsidRDefault="0079595D" w:rsidP="00151EC5">
            <w:pPr>
              <w:pStyle w:val="BodyA"/>
              <w:spacing w:after="47"/>
            </w:pPr>
            <w:bookmarkStart w:id="0" w:name="_GoBack"/>
            <w:bookmarkEnd w:id="0"/>
            <w:r>
              <w:rPr>
                <w:rFonts w:ascii="Times New Roman" w:eastAsia="Times New Roman" w:hAnsi="Times New Roman" w:cs="Times New Roman"/>
                <w:noProof/>
                <w:sz w:val="24"/>
                <w:szCs w:val="24"/>
                <w:lang w:val="en-CA" w:eastAsia="en-CA"/>
              </w:rPr>
              <w:drawing>
                <wp:inline distT="0" distB="0" distL="0" distR="0" wp14:anchorId="37A66318" wp14:editId="0534516F">
                  <wp:extent cx="5721350" cy="914400"/>
                  <wp:effectExtent l="0" t="0" r="0" b="0"/>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7">
                            <a:extLst/>
                          </a:blip>
                          <a:stretch>
                            <a:fillRect/>
                          </a:stretch>
                        </pic:blipFill>
                        <pic:spPr>
                          <a:xfrm>
                            <a:off x="0" y="0"/>
                            <a:ext cx="5721350" cy="914400"/>
                          </a:xfrm>
                          <a:prstGeom prst="rect">
                            <a:avLst/>
                          </a:prstGeom>
                          <a:ln w="12700" cap="flat">
                            <a:noFill/>
                            <a:miter lim="400000"/>
                          </a:ln>
                          <a:effectLst/>
                        </pic:spPr>
                      </pic:pic>
                    </a:graphicData>
                  </a:graphic>
                </wp:inline>
              </w:drawing>
            </w:r>
          </w:p>
          <w:p w14:paraId="6621E1C9" w14:textId="5FC279C4" w:rsidR="00DB4F1C" w:rsidRDefault="0079595D">
            <w:pPr>
              <w:pStyle w:val="BodyA"/>
              <w:spacing w:after="212" w:line="241" w:lineRule="auto"/>
              <w:jc w:val="center"/>
            </w:pPr>
            <w:r>
              <w:rPr>
                <w:rFonts w:ascii="Arial" w:hAnsi="Arial"/>
                <w:b/>
                <w:bCs/>
              </w:rPr>
              <w:t xml:space="preserve">Seminar by IEEE Ottawa Section, PELS, </w:t>
            </w:r>
            <w:r w:rsidR="00151EC5" w:rsidRPr="00151EC5">
              <w:rPr>
                <w:rFonts w:ascii="Arial" w:hAnsi="Arial"/>
                <w:b/>
                <w:bCs/>
              </w:rPr>
              <w:t>SSIT</w:t>
            </w:r>
            <w:r>
              <w:rPr>
                <w:rFonts w:ascii="Arial" w:hAnsi="Arial"/>
                <w:b/>
                <w:bCs/>
              </w:rPr>
              <w:t xml:space="preserve">, RS-PEL, PES, Education Activities, Algonquin College IEEE Student Branch, </w:t>
            </w:r>
            <w:proofErr w:type="spellStart"/>
            <w:r>
              <w:rPr>
                <w:rFonts w:ascii="Arial" w:hAnsi="Arial"/>
                <w:b/>
                <w:bCs/>
              </w:rPr>
              <w:t>ComSoc</w:t>
            </w:r>
            <w:proofErr w:type="spellEnd"/>
            <w:r>
              <w:rPr>
                <w:rFonts w:ascii="Arial" w:hAnsi="Arial"/>
                <w:b/>
                <w:bCs/>
              </w:rPr>
              <w:t xml:space="preserve">, </w:t>
            </w:r>
            <w:proofErr w:type="spellStart"/>
            <w:r>
              <w:rPr>
                <w:rFonts w:ascii="Arial" w:hAnsi="Arial"/>
                <w:b/>
                <w:bCs/>
              </w:rPr>
              <w:t>CESoc</w:t>
            </w:r>
            <w:proofErr w:type="spellEnd"/>
            <w:r>
              <w:rPr>
                <w:rFonts w:ascii="Arial" w:hAnsi="Arial"/>
                <w:b/>
                <w:bCs/>
              </w:rPr>
              <w:t>, and BTS Ottawa Joint Chapter.</w:t>
            </w:r>
          </w:p>
          <w:p w14:paraId="3CDFD51B" w14:textId="77777777" w:rsidR="00DB4F1C" w:rsidRDefault="0079595D">
            <w:pPr>
              <w:pStyle w:val="BodyA"/>
              <w:spacing w:after="378" w:line="240" w:lineRule="auto"/>
              <w:ind w:right="28"/>
              <w:jc w:val="center"/>
            </w:pPr>
            <w:r>
              <w:rPr>
                <w:rFonts w:ascii="Arial" w:hAnsi="Arial"/>
                <w:b/>
                <w:bCs/>
                <w:i/>
                <w:iCs/>
                <w:sz w:val="20"/>
                <w:szCs w:val="20"/>
              </w:rPr>
              <w:t>The IEEE Ottawa Section is inviting all interested IEEE members and nonmembers to a seminar</w:t>
            </w:r>
          </w:p>
          <w:p w14:paraId="71FF34A9" w14:textId="7AAEC571" w:rsidR="00DB4F1C" w:rsidRDefault="007631FB">
            <w:pPr>
              <w:pStyle w:val="NormalWeb"/>
              <w:shd w:val="clear" w:color="auto" w:fill="FFFFFF"/>
              <w:spacing w:before="0" w:after="0"/>
              <w:jc w:val="center"/>
              <w:rPr>
                <w:rFonts w:ascii="Arial" w:eastAsia="Arial" w:hAnsi="Arial" w:cs="Arial"/>
                <w:b/>
                <w:bCs/>
                <w:i/>
                <w:iCs/>
                <w:color w:val="000080"/>
                <w:sz w:val="28"/>
                <w:szCs w:val="28"/>
                <w:u w:color="000080"/>
              </w:rPr>
            </w:pPr>
            <w:r>
              <w:rPr>
                <w:rFonts w:ascii="Arial" w:hAnsi="Arial"/>
                <w:b/>
                <w:bCs/>
                <w:i/>
                <w:iCs/>
                <w:color w:val="000080"/>
                <w:sz w:val="28"/>
                <w:szCs w:val="28"/>
                <w:u w:color="000080"/>
              </w:rPr>
              <w:t>Modern Day Applications of Power Electronics – Who Can Benefit?</w:t>
            </w:r>
          </w:p>
          <w:p w14:paraId="66943F03" w14:textId="77777777" w:rsidR="00DB4F1C" w:rsidRDefault="0079595D">
            <w:pPr>
              <w:pStyle w:val="NormalWeb"/>
              <w:shd w:val="clear" w:color="auto" w:fill="FFFFFF"/>
              <w:spacing w:before="0" w:after="0"/>
              <w:jc w:val="center"/>
              <w:rPr>
                <w:rFonts w:ascii="Arial" w:eastAsia="Arial" w:hAnsi="Arial" w:cs="Arial"/>
                <w:i/>
                <w:iCs/>
                <w:color w:val="000080"/>
                <w:sz w:val="20"/>
                <w:szCs w:val="20"/>
                <w:u w:color="000080"/>
              </w:rPr>
            </w:pPr>
            <w:r>
              <w:rPr>
                <w:rFonts w:ascii="Arial" w:hAnsi="Arial"/>
                <w:i/>
                <w:iCs/>
                <w:color w:val="000080"/>
                <w:sz w:val="20"/>
                <w:szCs w:val="20"/>
                <w:u w:color="000080"/>
              </w:rPr>
              <w:t>By</w:t>
            </w:r>
          </w:p>
          <w:p w14:paraId="60424D99" w14:textId="77777777" w:rsidR="00DB4F1C" w:rsidRDefault="00DB4F1C">
            <w:pPr>
              <w:pStyle w:val="NormalWeb"/>
              <w:shd w:val="clear" w:color="auto" w:fill="FFFFFF"/>
              <w:spacing w:before="0" w:after="0"/>
              <w:jc w:val="center"/>
            </w:pPr>
          </w:p>
          <w:p w14:paraId="6AA7DBEB" w14:textId="42C64ABD" w:rsidR="00DB4F1C" w:rsidRDefault="007631FB">
            <w:pPr>
              <w:pStyle w:val="BodyA"/>
              <w:spacing w:after="240" w:line="240" w:lineRule="auto"/>
              <w:ind w:right="35"/>
              <w:jc w:val="center"/>
              <w:rPr>
                <w:rFonts w:ascii="Arial" w:eastAsia="Arial" w:hAnsi="Arial" w:cs="Arial"/>
                <w:i/>
                <w:iCs/>
                <w:color w:val="000080"/>
                <w:sz w:val="28"/>
                <w:szCs w:val="28"/>
                <w:u w:color="000080"/>
              </w:rPr>
            </w:pPr>
            <w:r>
              <w:rPr>
                <w:rFonts w:ascii="Arial" w:hAnsi="Arial"/>
                <w:i/>
                <w:iCs/>
                <w:color w:val="000080"/>
                <w:sz w:val="28"/>
                <w:szCs w:val="28"/>
                <w:u w:color="000080"/>
              </w:rPr>
              <w:t>Kalyan K. Sen</w:t>
            </w:r>
            <w:r w:rsidR="00151EC5">
              <w:rPr>
                <w:rFonts w:ascii="Arial" w:hAnsi="Arial"/>
                <w:i/>
                <w:iCs/>
                <w:color w:val="000080"/>
                <w:sz w:val="28"/>
                <w:szCs w:val="28"/>
                <w:u w:color="000080"/>
              </w:rPr>
              <w:t xml:space="preserve"> </w:t>
            </w:r>
          </w:p>
          <w:p w14:paraId="44ACB172" w14:textId="3307990B" w:rsidR="00DB4F1C" w:rsidRDefault="007631FB">
            <w:pPr>
              <w:pStyle w:val="BodyA"/>
              <w:spacing w:after="240" w:line="240" w:lineRule="auto"/>
              <w:ind w:right="35"/>
              <w:jc w:val="center"/>
            </w:pPr>
            <w:r>
              <w:rPr>
                <w:rFonts w:ascii="Arial" w:hAnsi="Arial"/>
                <w:i/>
                <w:iCs/>
                <w:color w:val="000080"/>
                <w:sz w:val="28"/>
                <w:szCs w:val="28"/>
                <w:u w:color="000080"/>
              </w:rPr>
              <w:t>Sen Engineering Solutions, Inc.</w:t>
            </w:r>
          </w:p>
          <w:p w14:paraId="081D2268" w14:textId="77777777" w:rsidR="007631FB" w:rsidRDefault="007631FB" w:rsidP="007631FB">
            <w:pPr>
              <w:pStyle w:val="BodyA"/>
              <w:tabs>
                <w:tab w:val="center" w:pos="321"/>
                <w:tab w:val="center" w:pos="2471"/>
              </w:tabs>
              <w:spacing w:after="0" w:line="240" w:lineRule="auto"/>
            </w:pPr>
            <w:r>
              <w:rPr>
                <w:rFonts w:ascii="Arial" w:hAnsi="Arial"/>
                <w:b/>
                <w:bCs/>
              </w:rPr>
              <w:t>DATE</w:t>
            </w:r>
            <w:r>
              <w:rPr>
                <w:rFonts w:ascii="Arial" w:hAnsi="Arial"/>
              </w:rPr>
              <w:t xml:space="preserve">:       </w:t>
            </w:r>
            <w:r>
              <w:rPr>
                <w:rFonts w:ascii="Arial" w:hAnsi="Arial"/>
                <w:color w:val="FF0000"/>
                <w:u w:color="FF0000"/>
              </w:rPr>
              <w:t>November 28</w:t>
            </w:r>
            <w:r>
              <w:rPr>
                <w:rFonts w:ascii="Arial" w:hAnsi="Arial"/>
                <w:color w:val="FF0000"/>
                <w:u w:color="FF0000"/>
                <w:vertAlign w:val="superscript"/>
              </w:rPr>
              <w:t>th</w:t>
            </w:r>
            <w:r>
              <w:rPr>
                <w:rFonts w:ascii="Arial" w:hAnsi="Arial"/>
                <w:color w:val="FF0000"/>
                <w:u w:color="FF0000"/>
              </w:rPr>
              <w:t xml:space="preserve"> 2019</w:t>
            </w:r>
          </w:p>
          <w:p w14:paraId="60BDB277" w14:textId="77777777" w:rsidR="007631FB" w:rsidRDefault="007631FB" w:rsidP="007631FB">
            <w:pPr>
              <w:pStyle w:val="BodyA"/>
              <w:tabs>
                <w:tab w:val="center" w:pos="299"/>
                <w:tab w:val="center" w:pos="4780"/>
              </w:tabs>
              <w:spacing w:after="0" w:line="240" w:lineRule="auto"/>
            </w:pPr>
            <w:r>
              <w:tab/>
            </w:r>
            <w:r>
              <w:rPr>
                <w:rFonts w:ascii="Arial" w:hAnsi="Arial"/>
                <w:b/>
                <w:bCs/>
              </w:rPr>
              <w:t>TIME:</w:t>
            </w:r>
            <w:r>
              <w:rPr>
                <w:rFonts w:ascii="Arial" w:hAnsi="Arial"/>
              </w:rPr>
              <w:t xml:space="preserve"> </w:t>
            </w:r>
            <w:r>
              <w:rPr>
                <w:rFonts w:ascii="Arial" w:hAnsi="Arial"/>
              </w:rPr>
              <w:tab/>
              <w:t>Refreshments, Registration and Networking:</w:t>
            </w:r>
            <w:r>
              <w:rPr>
                <w:rFonts w:ascii="Arial" w:hAnsi="Arial"/>
                <w:color w:val="FF0000"/>
                <w:u w:color="FF0000"/>
              </w:rPr>
              <w:t xml:space="preserve"> 18:00</w:t>
            </w:r>
            <w:r>
              <w:rPr>
                <w:rFonts w:ascii="Arial" w:hAnsi="Arial"/>
              </w:rPr>
              <w:t xml:space="preserve">; Seminar: </w:t>
            </w:r>
            <w:r>
              <w:rPr>
                <w:rFonts w:ascii="Arial" w:hAnsi="Arial"/>
                <w:color w:val="FF0000"/>
                <w:u w:color="FF0000"/>
              </w:rPr>
              <w:t>18:30 – 20:00</w:t>
            </w:r>
            <w:r>
              <w:rPr>
                <w:rFonts w:ascii="Arial" w:hAnsi="Arial"/>
                <w:b/>
                <w:bCs/>
                <w:color w:val="FF0000"/>
                <w:u w:color="FF0000"/>
              </w:rPr>
              <w:t>.</w:t>
            </w:r>
          </w:p>
          <w:p w14:paraId="68747265" w14:textId="32582436" w:rsidR="007631FB" w:rsidRDefault="007631FB" w:rsidP="007631FB">
            <w:pPr>
              <w:pStyle w:val="BodyA"/>
              <w:tabs>
                <w:tab w:val="center" w:pos="409"/>
                <w:tab w:val="center" w:pos="4676"/>
              </w:tabs>
              <w:spacing w:after="0" w:line="240" w:lineRule="auto"/>
              <w:rPr>
                <w:rStyle w:val="None"/>
              </w:rPr>
            </w:pPr>
            <w:r>
              <w:tab/>
            </w:r>
            <w:r>
              <w:rPr>
                <w:rFonts w:ascii="Arial" w:hAnsi="Arial"/>
                <w:b/>
                <w:bCs/>
              </w:rPr>
              <w:t>PLACE:</w:t>
            </w:r>
            <w:r w:rsidR="00D76A97">
              <w:rPr>
                <w:rFonts w:ascii="Arial" w:hAnsi="Arial"/>
              </w:rPr>
              <w:t xml:space="preserve"> </w:t>
            </w:r>
            <w:r>
              <w:rPr>
                <w:rStyle w:val="Hyperlink0"/>
              </w:rPr>
              <w:t xml:space="preserve">Algonquin College, </w:t>
            </w:r>
            <w:r>
              <w:rPr>
                <w:rStyle w:val="Hyperlink1"/>
              </w:rPr>
              <w:t xml:space="preserve">Room </w:t>
            </w:r>
            <w:r w:rsidR="00AE2673" w:rsidRPr="00AE2673">
              <w:rPr>
                <w:rStyle w:val="Hyperlink1"/>
              </w:rPr>
              <w:t>P208</w:t>
            </w:r>
            <w:r>
              <w:rPr>
                <w:rStyle w:val="Hyperlink1"/>
              </w:rPr>
              <w:t>, 1385 Woodroffe Ave., Ottawa.</w:t>
            </w:r>
          </w:p>
          <w:p w14:paraId="56556D7F" w14:textId="77777777" w:rsidR="007631FB" w:rsidRDefault="007631FB" w:rsidP="007631FB">
            <w:pPr>
              <w:pStyle w:val="BodyA"/>
              <w:spacing w:after="0" w:line="240" w:lineRule="auto"/>
              <w:rPr>
                <w:rStyle w:val="Hyperlink1"/>
              </w:rPr>
            </w:pPr>
            <w:r>
              <w:rPr>
                <w:rStyle w:val="None"/>
                <w:rFonts w:ascii="Arial" w:hAnsi="Arial"/>
                <w:b/>
                <w:bCs/>
              </w:rPr>
              <w:t xml:space="preserve">PARKING: </w:t>
            </w:r>
            <w:r>
              <w:rPr>
                <w:rStyle w:val="Hyperlink1"/>
              </w:rPr>
              <w:t xml:space="preserve">Parking in Lots 8 and </w:t>
            </w:r>
            <w:r>
              <w:rPr>
                <w:rStyle w:val="None"/>
                <w:rFonts w:ascii="Arial" w:hAnsi="Arial"/>
                <w:u w:val="single"/>
              </w:rPr>
              <w:t>9</w:t>
            </w:r>
            <w:r>
              <w:rPr>
                <w:rStyle w:val="Hyperlink1"/>
              </w:rPr>
              <w:t xml:space="preserve"> after 5 p.m. is $5 flat rate, pay at a machine and display the ticket on your dashboard.</w:t>
            </w:r>
          </w:p>
          <w:p w14:paraId="2656950D" w14:textId="77777777" w:rsidR="007631FB" w:rsidRPr="00BB6F25" w:rsidRDefault="007631FB" w:rsidP="007631FB">
            <w:pPr>
              <w:pStyle w:val="BodyA"/>
              <w:spacing w:after="0" w:line="240" w:lineRule="auto"/>
              <w:ind w:right="292"/>
              <w:jc w:val="both"/>
              <w:rPr>
                <w:rStyle w:val="None"/>
                <w:rFonts w:ascii="Tahoma" w:eastAsia="Times New Roman" w:hAnsi="Tahoma" w:cs="Tahoma"/>
                <w:sz w:val="20"/>
                <w:szCs w:val="20"/>
              </w:rPr>
            </w:pPr>
          </w:p>
          <w:p w14:paraId="62A0ED7C" w14:textId="77777777" w:rsidR="007631FB" w:rsidRPr="00BB6F25" w:rsidRDefault="007631FB" w:rsidP="007631FB">
            <w:pPr>
              <w:pStyle w:val="BodyA"/>
              <w:spacing w:after="0" w:line="240" w:lineRule="auto"/>
              <w:ind w:right="292"/>
              <w:jc w:val="both"/>
              <w:rPr>
                <w:rStyle w:val="None"/>
                <w:rFonts w:ascii="Tahoma" w:eastAsia="Times New Roman" w:hAnsi="Tahoma" w:cs="Tahoma"/>
                <w:sz w:val="20"/>
                <w:szCs w:val="20"/>
              </w:rPr>
            </w:pPr>
            <w:r w:rsidRPr="00BB6F25">
              <w:rPr>
                <w:rStyle w:val="None"/>
                <w:rFonts w:ascii="Tahoma" w:hAnsi="Tahoma" w:cs="Tahoma"/>
                <w:b/>
                <w:bCs/>
                <w:color w:val="000080"/>
                <w:sz w:val="20"/>
                <w:szCs w:val="20"/>
                <w:u w:val="single" w:color="000080"/>
                <w:shd w:val="clear" w:color="auto" w:fill="FFFFFF"/>
              </w:rPr>
              <w:t>Abstract</w:t>
            </w:r>
            <w:r w:rsidRPr="00BB6F25">
              <w:rPr>
                <w:rStyle w:val="None"/>
                <w:rFonts w:ascii="Tahoma" w:hAnsi="Tahoma" w:cs="Tahoma"/>
                <w:sz w:val="20"/>
                <w:szCs w:val="20"/>
                <w:shd w:val="clear" w:color="auto" w:fill="FFFFFF"/>
              </w:rPr>
              <w:t xml:space="preserve"> - </w:t>
            </w:r>
            <w:r w:rsidRPr="00BB6F25">
              <w:rPr>
                <w:rFonts w:ascii="Tahoma" w:hAnsi="Tahoma" w:cs="Tahoma"/>
                <w:sz w:val="20"/>
                <w:szCs w:val="20"/>
              </w:rPr>
              <w:t xml:space="preserve">Application of power electronics is widespread in everyday life. </w:t>
            </w:r>
            <w:r>
              <w:rPr>
                <w:rFonts w:ascii="Tahoma" w:hAnsi="Tahoma" w:cs="Tahoma"/>
                <w:sz w:val="20"/>
                <w:szCs w:val="20"/>
              </w:rPr>
              <w:t>Some applications are considered as “nice to have it;” in other cases, they are essential. This presentation discusses a wide variety of daily-used applications around the world.</w:t>
            </w:r>
            <w:r w:rsidRPr="00BB6F25">
              <w:rPr>
                <w:rFonts w:ascii="Tahoma" w:hAnsi="Tahoma" w:cs="Tahoma"/>
                <w:sz w:val="20"/>
                <w:szCs w:val="20"/>
              </w:rPr>
              <w:t xml:space="preserve"> Also covered is </w:t>
            </w:r>
            <w:r>
              <w:rPr>
                <w:rFonts w:ascii="Tahoma" w:hAnsi="Tahoma" w:cs="Tahoma"/>
                <w:sz w:val="20"/>
                <w:szCs w:val="20"/>
              </w:rPr>
              <w:t xml:space="preserve">an </w:t>
            </w:r>
            <w:r w:rsidRPr="00BB6F25">
              <w:rPr>
                <w:rFonts w:ascii="Tahoma" w:hAnsi="Tahoma" w:cs="Tahoma"/>
                <w:sz w:val="20"/>
                <w:szCs w:val="20"/>
              </w:rPr>
              <w:t>advanced topic, such as SMART Controller that today’s grid requires for voltage regulation, power factor regulation, unbalance voltage/current regulation, harmonic elimination and so on. A SMART Controller that is based on functional requirements and cost-effective solutions is derived from utilizing the best features of all the technical concepts that are developed until now. Final year students of electrical engineering undergraduate curriculum, post graduate students, researchers, academicians and utility engineers will benefit from attending this course. The participants will hear from an expert who actually designed and commissioned a few utility-grade SMART controllers since their inception in the 1990s.</w:t>
            </w:r>
          </w:p>
          <w:p w14:paraId="52C39F1D" w14:textId="77777777" w:rsidR="007631FB" w:rsidRPr="00BB6F25" w:rsidRDefault="007631FB" w:rsidP="007631FB">
            <w:pPr>
              <w:pStyle w:val="BodyA"/>
              <w:spacing w:after="0" w:line="240" w:lineRule="auto"/>
              <w:ind w:right="292"/>
              <w:jc w:val="both"/>
              <w:rPr>
                <w:rStyle w:val="None"/>
                <w:rFonts w:ascii="Tahoma" w:eastAsia="Times New Roman" w:hAnsi="Tahoma" w:cs="Tahoma"/>
                <w:sz w:val="20"/>
                <w:szCs w:val="20"/>
              </w:rPr>
            </w:pPr>
          </w:p>
          <w:p w14:paraId="35BBF90C" w14:textId="77777777" w:rsidR="007631FB" w:rsidRPr="00BB6F25" w:rsidRDefault="007631FB" w:rsidP="007631FB">
            <w:pPr>
              <w:pStyle w:val="BodyA"/>
              <w:spacing w:after="0" w:line="240" w:lineRule="auto"/>
              <w:ind w:right="292"/>
              <w:jc w:val="both"/>
              <w:rPr>
                <w:rStyle w:val="None"/>
                <w:rFonts w:ascii="Tahoma" w:hAnsi="Tahoma" w:cs="Tahoma"/>
              </w:rPr>
            </w:pPr>
            <w:r w:rsidRPr="00BB6F25">
              <w:rPr>
                <w:rStyle w:val="None"/>
                <w:rFonts w:ascii="Tahoma" w:hAnsi="Tahoma" w:cs="Tahoma"/>
                <w:b/>
                <w:bCs/>
                <w:color w:val="333399"/>
                <w:sz w:val="20"/>
                <w:szCs w:val="20"/>
                <w:u w:val="single" w:color="333399"/>
              </w:rPr>
              <w:t>Speaker’s Bio</w:t>
            </w:r>
            <w:r w:rsidRPr="00BB6F25">
              <w:rPr>
                <w:rStyle w:val="None"/>
                <w:rFonts w:ascii="Tahoma" w:hAnsi="Tahoma" w:cs="Tahoma"/>
                <w:sz w:val="20"/>
                <w:szCs w:val="20"/>
              </w:rPr>
              <w:t xml:space="preserve"> </w:t>
            </w:r>
          </w:p>
          <w:p w14:paraId="074E0F37" w14:textId="77777777" w:rsidR="007631FB" w:rsidRPr="00BB6F25" w:rsidRDefault="007631FB" w:rsidP="007631FB">
            <w:pPr>
              <w:pStyle w:val="BodyA"/>
              <w:spacing w:after="0" w:line="240" w:lineRule="auto"/>
              <w:ind w:right="292"/>
              <w:jc w:val="both"/>
              <w:rPr>
                <w:rStyle w:val="None"/>
                <w:rFonts w:ascii="Tahoma" w:eastAsia="Tahoma" w:hAnsi="Tahoma" w:cs="Tahoma"/>
                <w:color w:val="26282A"/>
                <w:sz w:val="20"/>
                <w:szCs w:val="20"/>
                <w:u w:color="26282A"/>
              </w:rPr>
            </w:pPr>
            <w:r w:rsidRPr="00BB6F25">
              <w:rPr>
                <w:rStyle w:val="None"/>
                <w:rFonts w:ascii="Tahoma" w:hAnsi="Tahoma" w:cs="Tahoma"/>
                <w:b/>
                <w:bCs/>
                <w:color w:val="26282A"/>
                <w:sz w:val="20"/>
                <w:szCs w:val="20"/>
                <w:u w:color="26282A"/>
              </w:rPr>
              <w:t>Kalyan Sen</w:t>
            </w:r>
            <w:r w:rsidRPr="00BB6F25">
              <w:rPr>
                <w:rFonts w:ascii="Tahoma" w:hAnsi="Tahoma" w:cs="Tahoma"/>
                <w:sz w:val="20"/>
                <w:szCs w:val="20"/>
              </w:rPr>
              <w:t>, a Fulbright Scholar, is the Chief Technology Officer of Sen Engineering Solutions, Inc. (</w:t>
            </w:r>
            <w:hyperlink r:id="rId8" w:history="1">
              <w:r w:rsidRPr="00BB6F25">
                <w:rPr>
                  <w:rStyle w:val="Hyperlink"/>
                  <w:rFonts w:ascii="Tahoma" w:hAnsi="Tahoma" w:cs="Tahoma"/>
                  <w:sz w:val="20"/>
                  <w:szCs w:val="20"/>
                </w:rPr>
                <w:t>www.sentransformer.com</w:t>
              </w:r>
            </w:hyperlink>
            <w:r w:rsidRPr="00BB6F25">
              <w:rPr>
                <w:rFonts w:ascii="Tahoma" w:hAnsi="Tahoma" w:cs="Tahoma"/>
                <w:sz w:val="20"/>
                <w:szCs w:val="20"/>
              </w:rPr>
              <w:t xml:space="preserve">) that specializes in developing SMART power flow controllers—a functional requirements-based and cost-effective solution. He </w:t>
            </w:r>
            <w:r w:rsidRPr="00BB6F25">
              <w:rPr>
                <w:rStyle w:val="None"/>
                <w:rFonts w:ascii="Tahoma" w:hAnsi="Tahoma" w:cs="Tahoma"/>
                <w:color w:val="26282A"/>
                <w:sz w:val="20"/>
                <w:szCs w:val="20"/>
                <w:u w:color="26282A"/>
              </w:rPr>
              <w:t xml:space="preserve">received </w:t>
            </w:r>
            <w:r w:rsidRPr="00BB6F25">
              <w:rPr>
                <w:rFonts w:ascii="Tahoma" w:hAnsi="Tahoma" w:cs="Tahoma"/>
                <w:sz w:val="20"/>
                <w:szCs w:val="20"/>
              </w:rPr>
              <w:t>BEE, MSEE, and PhD degrees, all in Electrical Engineering, from Jadavpur University, India, Tuskegee University, USA, and Worcester Polytechnic Institute, USA, respectively. He also received an MBA from Robert Morris University, USA.</w:t>
            </w:r>
          </w:p>
          <w:p w14:paraId="58AA59E4" w14:textId="77777777" w:rsidR="007631FB" w:rsidRPr="00BB6F25" w:rsidRDefault="007631FB" w:rsidP="007631FB">
            <w:pPr>
              <w:pStyle w:val="BodyA"/>
              <w:spacing w:after="0" w:line="240" w:lineRule="auto"/>
              <w:ind w:right="292"/>
              <w:jc w:val="both"/>
              <w:rPr>
                <w:rStyle w:val="None"/>
                <w:rFonts w:ascii="Tahoma" w:eastAsia="Tahoma" w:hAnsi="Tahoma" w:cs="Tahoma"/>
                <w:color w:val="26282A"/>
                <w:sz w:val="20"/>
                <w:szCs w:val="20"/>
                <w:u w:color="26282A"/>
              </w:rPr>
            </w:pPr>
          </w:p>
          <w:p w14:paraId="1A47606A" w14:textId="18CA2F33" w:rsidR="007631FB" w:rsidRPr="00BB6F25" w:rsidRDefault="00901E28" w:rsidP="007631FB">
            <w:pPr>
              <w:pStyle w:val="BodyA"/>
              <w:spacing w:after="0" w:line="240" w:lineRule="auto"/>
              <w:ind w:right="292"/>
              <w:jc w:val="both"/>
              <w:rPr>
                <w:rStyle w:val="None"/>
                <w:rFonts w:ascii="Tahoma" w:eastAsia="Times New Roman" w:hAnsi="Tahoma" w:cs="Tahoma"/>
                <w:sz w:val="20"/>
                <w:szCs w:val="20"/>
              </w:rPr>
            </w:pPr>
            <w:r>
              <w:rPr>
                <w:rFonts w:ascii="Tahoma" w:hAnsi="Tahoma" w:cs="Tahoma"/>
                <w:sz w:val="20"/>
                <w:szCs w:val="20"/>
              </w:rPr>
              <w:t>Dr. Sen</w:t>
            </w:r>
            <w:r w:rsidR="007631FB" w:rsidRPr="00BB6F25">
              <w:rPr>
                <w:rFonts w:ascii="Tahoma" w:hAnsi="Tahoma" w:cs="Tahoma"/>
                <w:sz w:val="20"/>
                <w:szCs w:val="20"/>
              </w:rPr>
              <w:t xml:space="preserve"> spent more than 30 years in academia and industry and became a Westinghouse Fellow Engineer. He was a key member of the Flexible Alternating Current Transmission Systems (FACTS) development team at the Westinghouse Science &amp; Technology Center in Pittsburgh. He contributed in all aspects (conception, simulation, design, and commissioning) of FACTS projects at Westinghouse. He conceived some of the basic concepts in FACTS technology. He has authored or coauthored more than 25 peer-reviewed publications, 8 issued patents, a book and 4 book chapters in the areas of FACTS and power electronics. He is the coauthor of the book titled, </w:t>
            </w:r>
            <w:r w:rsidR="007631FB" w:rsidRPr="00BB6F25">
              <w:rPr>
                <w:rFonts w:ascii="Tahoma" w:hAnsi="Tahoma" w:cs="Tahoma"/>
                <w:i/>
                <w:sz w:val="20"/>
                <w:szCs w:val="20"/>
              </w:rPr>
              <w:t>Introduction to FACTS Controllers: Theory, Modeling, and Applications</w:t>
            </w:r>
            <w:r w:rsidR="007631FB" w:rsidRPr="00BB6F25">
              <w:rPr>
                <w:rFonts w:ascii="Tahoma" w:hAnsi="Tahoma" w:cs="Tahoma"/>
                <w:sz w:val="20"/>
                <w:szCs w:val="20"/>
              </w:rPr>
              <w:t>, IEEE Press and John Wiley &amp; Sons, Inc. 2009, which is also published in Chinese and Indian paperback editions. He is the co-inventor of Sen Transformer.</w:t>
            </w:r>
          </w:p>
          <w:p w14:paraId="261EE7F9" w14:textId="6A14F427" w:rsidR="0079595D" w:rsidRPr="0079595D" w:rsidRDefault="0079595D" w:rsidP="0079595D">
            <w:pPr>
              <w:pStyle w:val="BodyA"/>
              <w:spacing w:after="0" w:line="240" w:lineRule="auto"/>
              <w:rPr>
                <w:rStyle w:val="None"/>
                <w:rFonts w:ascii="Times New Roman" w:eastAsia="Times New Roman" w:hAnsi="Times New Roman" w:cs="Times New Roman"/>
                <w:sz w:val="20"/>
                <w:szCs w:val="20"/>
              </w:rPr>
            </w:pPr>
          </w:p>
          <w:p w14:paraId="0AB5FB39" w14:textId="77777777" w:rsidR="00DB4F1C" w:rsidRDefault="0079595D">
            <w:pPr>
              <w:pStyle w:val="BodyA"/>
              <w:tabs>
                <w:tab w:val="center" w:pos="572"/>
                <w:tab w:val="center" w:pos="4877"/>
              </w:tabs>
              <w:spacing w:after="88" w:line="240" w:lineRule="auto"/>
              <w:rPr>
                <w:rStyle w:val="None"/>
              </w:rPr>
            </w:pPr>
            <w:r>
              <w:rPr>
                <w:rStyle w:val="None"/>
              </w:rPr>
              <w:tab/>
            </w:r>
            <w:r>
              <w:rPr>
                <w:rStyle w:val="None"/>
                <w:rFonts w:ascii="Arial" w:hAnsi="Arial"/>
                <w:b/>
                <w:bCs/>
                <w:sz w:val="21"/>
                <w:szCs w:val="21"/>
              </w:rPr>
              <w:t>Admission:</w:t>
            </w:r>
            <w:r>
              <w:rPr>
                <w:rStyle w:val="None"/>
                <w:rFonts w:ascii="Arial" w:hAnsi="Arial"/>
                <w:b/>
                <w:bCs/>
                <w:sz w:val="21"/>
                <w:szCs w:val="21"/>
              </w:rPr>
              <w:tab/>
            </w:r>
            <w:r>
              <w:rPr>
                <w:rStyle w:val="None"/>
                <w:rFonts w:ascii="Arial" w:hAnsi="Arial"/>
                <w:sz w:val="21"/>
                <w:szCs w:val="21"/>
              </w:rPr>
              <w:t>Free. Registration required.</w:t>
            </w:r>
          </w:p>
          <w:p w14:paraId="6E45FF86" w14:textId="2C64C631" w:rsidR="00DB4F1C" w:rsidRDefault="0079595D" w:rsidP="007631FB">
            <w:pPr>
              <w:pStyle w:val="BodyA"/>
              <w:spacing w:after="0" w:line="240" w:lineRule="auto"/>
              <w:ind w:left="2"/>
              <w:jc w:val="center"/>
            </w:pPr>
            <w:r>
              <w:rPr>
                <w:rStyle w:val="None"/>
                <w:rFonts w:ascii="Times New Roman" w:hAnsi="Times New Roman"/>
              </w:rPr>
              <w:t xml:space="preserve">Please register by e-mail contacting: </w:t>
            </w:r>
            <w:hyperlink r:id="rId9" w:history="1">
              <w:r>
                <w:rPr>
                  <w:rStyle w:val="Hyperlink2"/>
                  <w:rFonts w:ascii="Times New Roman" w:hAnsi="Times New Roman"/>
                </w:rPr>
                <w:t>ottawapels@gmail.com</w:t>
              </w:r>
            </w:hyperlink>
          </w:p>
        </w:tc>
      </w:tr>
    </w:tbl>
    <w:p w14:paraId="5DA9015E" w14:textId="77777777" w:rsidR="00DB4F1C" w:rsidRDefault="00DB4F1C" w:rsidP="009039D8">
      <w:pPr>
        <w:pStyle w:val="Body"/>
        <w:widowControl w:val="0"/>
      </w:pPr>
    </w:p>
    <w:sectPr w:rsidR="00DB4F1C" w:rsidSect="009039D8">
      <w:headerReference w:type="default" r:id="rId10"/>
      <w:pgSz w:w="12240" w:h="15840"/>
      <w:pgMar w:top="425" w:right="1440" w:bottom="4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D3BF3" w14:textId="77777777" w:rsidR="000759F3" w:rsidRDefault="000759F3">
      <w:r>
        <w:separator/>
      </w:r>
    </w:p>
  </w:endnote>
  <w:endnote w:type="continuationSeparator" w:id="0">
    <w:p w14:paraId="6EE778BB" w14:textId="77777777" w:rsidR="000759F3" w:rsidRDefault="0007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5DC39" w14:textId="77777777" w:rsidR="000759F3" w:rsidRDefault="000759F3">
      <w:r>
        <w:separator/>
      </w:r>
    </w:p>
  </w:footnote>
  <w:footnote w:type="continuationSeparator" w:id="0">
    <w:p w14:paraId="4AE4F169" w14:textId="77777777" w:rsidR="000759F3" w:rsidRDefault="0007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4894" w14:textId="0B250199" w:rsidR="009039D8" w:rsidRPr="009039D8" w:rsidRDefault="009039D8">
    <w:pPr>
      <w:pStyle w:val="Header"/>
      <w:rPr>
        <w:lang w:val="en-CA"/>
      </w:rPr>
    </w:pPr>
    <w:r>
      <w:rPr>
        <w:lang w:val="en-C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1C"/>
    <w:rsid w:val="000759F3"/>
    <w:rsid w:val="001455DF"/>
    <w:rsid w:val="00151EC5"/>
    <w:rsid w:val="002F06F6"/>
    <w:rsid w:val="00300D9D"/>
    <w:rsid w:val="00447EA9"/>
    <w:rsid w:val="004E67E4"/>
    <w:rsid w:val="005527EB"/>
    <w:rsid w:val="006A2602"/>
    <w:rsid w:val="007631FB"/>
    <w:rsid w:val="0079595D"/>
    <w:rsid w:val="00801FAF"/>
    <w:rsid w:val="008942C1"/>
    <w:rsid w:val="008F05F5"/>
    <w:rsid w:val="00901E28"/>
    <w:rsid w:val="009039D8"/>
    <w:rsid w:val="009948B6"/>
    <w:rsid w:val="009F469F"/>
    <w:rsid w:val="00AB5CCD"/>
    <w:rsid w:val="00AE2673"/>
    <w:rsid w:val="00D76A97"/>
    <w:rsid w:val="00DB4F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9E092"/>
  <w15:docId w15:val="{54AC76ED-BFCA-4D70-B111-1BA23B1F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spacing w:after="160" w:line="259" w:lineRule="auto"/>
    </w:pPr>
    <w:rPr>
      <w:rFonts w:ascii="Calibri" w:hAnsi="Calibri" w:cs="Arial Unicode MS"/>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lang w:val="en-US"/>
    </w:rPr>
  </w:style>
  <w:style w:type="character" w:customStyle="1" w:styleId="Hyperlink1">
    <w:name w:val="Hyperlink.1"/>
    <w:basedOn w:val="None"/>
    <w:rPr>
      <w:rFonts w:ascii="Arial" w:eastAsia="Arial" w:hAnsi="Arial" w:cs="Arial"/>
      <w:lang w:val="en-US"/>
    </w:rPr>
  </w:style>
  <w:style w:type="character" w:customStyle="1" w:styleId="Hyperlink2">
    <w:name w:val="Hyperlink.2"/>
    <w:basedOn w:val="None"/>
    <w:rPr>
      <w:color w:val="0563C1"/>
      <w:u w:val="single" w:color="0563C1"/>
      <w:lang w:val="en-US"/>
    </w:rPr>
  </w:style>
  <w:style w:type="paragraph" w:styleId="BalloonText">
    <w:name w:val="Balloon Text"/>
    <w:basedOn w:val="Normal"/>
    <w:link w:val="BalloonTextChar"/>
    <w:uiPriority w:val="99"/>
    <w:semiHidden/>
    <w:unhideWhenUsed/>
    <w:rsid w:val="0079595D"/>
    <w:rPr>
      <w:rFonts w:ascii="Lucida Grande" w:hAnsi="Lucida Grande"/>
      <w:sz w:val="18"/>
      <w:szCs w:val="18"/>
    </w:rPr>
  </w:style>
  <w:style w:type="character" w:customStyle="1" w:styleId="BalloonTextChar">
    <w:name w:val="Balloon Text Char"/>
    <w:basedOn w:val="DefaultParagraphFont"/>
    <w:link w:val="BalloonText"/>
    <w:uiPriority w:val="99"/>
    <w:semiHidden/>
    <w:rsid w:val="0079595D"/>
    <w:rPr>
      <w:rFonts w:ascii="Lucida Grande" w:hAnsi="Lucida Grande"/>
      <w:sz w:val="18"/>
      <w:szCs w:val="18"/>
      <w:lang w:val="en-US"/>
    </w:rPr>
  </w:style>
  <w:style w:type="paragraph" w:styleId="Header">
    <w:name w:val="header"/>
    <w:basedOn w:val="Normal"/>
    <w:link w:val="HeaderChar"/>
    <w:uiPriority w:val="99"/>
    <w:unhideWhenUsed/>
    <w:rsid w:val="009039D8"/>
    <w:pPr>
      <w:tabs>
        <w:tab w:val="center" w:pos="4680"/>
        <w:tab w:val="right" w:pos="9360"/>
      </w:tabs>
    </w:pPr>
  </w:style>
  <w:style w:type="character" w:customStyle="1" w:styleId="HeaderChar">
    <w:name w:val="Header Char"/>
    <w:basedOn w:val="DefaultParagraphFont"/>
    <w:link w:val="Header"/>
    <w:uiPriority w:val="99"/>
    <w:rsid w:val="009039D8"/>
    <w:rPr>
      <w:sz w:val="24"/>
      <w:szCs w:val="24"/>
      <w:lang w:val="en-US"/>
    </w:rPr>
  </w:style>
  <w:style w:type="paragraph" w:styleId="Footer">
    <w:name w:val="footer"/>
    <w:basedOn w:val="Normal"/>
    <w:link w:val="FooterChar"/>
    <w:uiPriority w:val="99"/>
    <w:unhideWhenUsed/>
    <w:rsid w:val="009039D8"/>
    <w:pPr>
      <w:tabs>
        <w:tab w:val="center" w:pos="4680"/>
        <w:tab w:val="right" w:pos="9360"/>
      </w:tabs>
    </w:pPr>
  </w:style>
  <w:style w:type="character" w:customStyle="1" w:styleId="FooterChar">
    <w:name w:val="Footer Char"/>
    <w:basedOn w:val="DefaultParagraphFont"/>
    <w:link w:val="Footer"/>
    <w:uiPriority w:val="99"/>
    <w:rsid w:val="009039D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entransform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ttawapels@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045E9-F63B-4B6D-8B14-0006408B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Taekwondo Canada</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senml</dc:creator>
  <cp:lastModifiedBy>tgachovska</cp:lastModifiedBy>
  <cp:revision>2</cp:revision>
  <cp:lastPrinted>2019-10-31T18:18:00Z</cp:lastPrinted>
  <dcterms:created xsi:type="dcterms:W3CDTF">2019-11-01T00:38:00Z</dcterms:created>
  <dcterms:modified xsi:type="dcterms:W3CDTF">2019-11-01T00:38:00Z</dcterms:modified>
</cp:coreProperties>
</file>